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附件</w:t>
      </w:r>
      <w:r>
        <w:rPr>
          <w:rFonts w:hint="eastAsia"/>
          <w:b/>
          <w:bCs/>
          <w:sz w:val="32"/>
          <w:szCs w:val="40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响应报价表</w:t>
      </w:r>
      <w:bookmarkStart w:id="0" w:name="_GoBack"/>
      <w:bookmarkEnd w:id="0"/>
    </w:p>
    <w:p>
      <w:pPr>
        <w:jc w:val="left"/>
      </w:pPr>
      <w:r>
        <w:rPr>
          <w:rFonts w:hint="eastAsia"/>
          <w:sz w:val="28"/>
          <w:szCs w:val="36"/>
          <w:lang w:val="en-US" w:eastAsia="zh-CN"/>
        </w:rPr>
        <w:t>报价厂家或供应商名称：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</w:t>
      </w:r>
    </w:p>
    <w:tbl>
      <w:tblPr>
        <w:tblStyle w:val="2"/>
        <w:tblW w:w="10054" w:type="dxa"/>
        <w:tblInd w:w="-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1575"/>
        <w:gridCol w:w="2265"/>
        <w:gridCol w:w="234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名称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规格（盒）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水平值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响应报价（单价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/盒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生化多项质控物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5ml*12瓶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中值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糖化血红蛋白质控物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0.5ml*6瓶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正常值、高值</w:t>
            </w:r>
            <w:r>
              <w:rPr>
                <w:rFonts w:hint="eastAsia" w:ascii="宋体" w:hAnsi="宋体" w:cs="宋体"/>
                <w:szCs w:val="21"/>
              </w:rPr>
              <w:t>两水平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94" w:type="dxa"/>
            <w:noWrap w:val="0"/>
            <w:vAlign w:val="center"/>
          </w:tcPr>
          <w:p>
            <w:pPr>
              <w:spacing w:line="320" w:lineRule="exact"/>
              <w:ind w:left="-13" w:leftChars="-51" w:right="-107" w:rightChars="-51" w:hanging="94" w:hangingChars="45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生化</w:t>
            </w:r>
            <w:r>
              <w:rPr>
                <w:rFonts w:hint="eastAsia" w:ascii="宋体" w:hAnsi="宋体" w:cs="宋体"/>
                <w:szCs w:val="21"/>
              </w:rPr>
              <w:t>校准血清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20" w:lineRule="exact"/>
              <w:ind w:left="-13" w:leftChars="-51" w:right="-107" w:rightChars="-51" w:hanging="94" w:hangingChars="45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5ml*20瓶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320" w:lineRule="exact"/>
              <w:ind w:left="-13" w:leftChars="-51" w:right="-107" w:rightChars="-51" w:hanging="94" w:hangingChars="45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中值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20" w:lineRule="exact"/>
              <w:ind w:left="-13" w:leftChars="-51" w:right="-107" w:rightChars="-51" w:hanging="94" w:hangingChars="45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320" w:lineRule="exact"/>
              <w:ind w:left="-13" w:leftChars="-51" w:right="-107" w:rightChars="-51" w:hanging="94" w:hangingChars="45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凝血质控品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1ml*20瓶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正常值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D-二聚体质控物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1ml*6瓶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正常值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多项目尿液化学分析控制品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2*10ml*6瓶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单水平阳性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全血质控品试剂盒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1.5ml*5瓶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正常值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梅毒非特异性抗体非定值质控品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10×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m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阳性（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滴度在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1：2-1:16之间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乙型肝炎病毒表面抗原检测用质控品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1.0ml*20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弱阳性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乙型肝炎病毒表面抗体检测用质控品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1.0ml*20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弱阳性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乙型肝炎病毒e抗原检测用质控品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1.0ml*20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弱阳性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乙型肝炎病毒e抗体检测用质控品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1.0ml*20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弱阳性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乙型肝炎病毒核心抗体检测用质控品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1.0ml*20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弱阳性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人类免疫缺陷病毒抗体检测用质控品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1.0ml*20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弱阳性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丙型肝炎病毒抗体检测用质控品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0.5ml*20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弱阳性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梅毒特异性抗体检测用质控品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1.0ml*20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弱阳性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C反应蛋白质控品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10*1.0ml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有高、中、低水平之分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血型试剂质控试剂盒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4ml*4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可同时用于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ABO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血型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Rh（D）血型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、交叉配血及不规则抗体筛查质控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内分泌多项质控品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3.0ml*6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有高、中、低水平之分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Y2M0ZjZjZTRiOGZjNTM2Njg5MmZiZmU4Yjg5YTkifQ=="/>
  </w:docVars>
  <w:rsids>
    <w:rsidRoot w:val="00000000"/>
    <w:rsid w:val="1D157B91"/>
    <w:rsid w:val="25DC795C"/>
    <w:rsid w:val="4D596F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520</Characters>
  <Lines>0</Lines>
  <Paragraphs>0</Paragraphs>
  <TotalTime>6</TotalTime>
  <ScaleCrop>false</ScaleCrop>
  <LinksUpToDate>false</LinksUpToDate>
  <CharactersWithSpaces>565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ZL</cp:lastModifiedBy>
  <cp:lastPrinted>2024-08-30T01:28:40Z</cp:lastPrinted>
  <dcterms:modified xsi:type="dcterms:W3CDTF">2024-08-30T01:29:09Z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C383B847BAA348A5AFA5B308621429B3</vt:lpwstr>
  </property>
</Properties>
</file>